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D430A3" w:rsidRDefault="00F92268" w:rsidP="00850792">
      <w:pPr>
        <w:pStyle w:val="BodyText"/>
        <w:rPr>
          <w:sz w:val="6"/>
          <w:szCs w:val="6"/>
        </w:rPr>
      </w:pPr>
      <w:r w:rsidRPr="00D430A3">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D430A3"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430A3" w:rsidRDefault="00F92268" w:rsidP="00F246C7">
            <w:pPr>
              <w:pStyle w:val="RefTableData"/>
            </w:pPr>
            <w:r w:rsidRPr="00D430A3">
              <w:t>Reference number(s)</w:t>
            </w:r>
          </w:p>
        </w:tc>
      </w:tr>
      <w:tr w:rsidR="00F92268" w:rsidRPr="00D430A3"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7318471" w:rsidR="00F92268" w:rsidRPr="00D430A3" w:rsidRDefault="00C275BF" w:rsidP="00F246C7">
            <w:pPr>
              <w:pStyle w:val="RefTableHeader"/>
            </w:pPr>
            <w:r w:rsidRPr="00D430A3">
              <w:t>2368-A</w:t>
            </w:r>
          </w:p>
        </w:tc>
      </w:tr>
    </w:tbl>
    <w:p w14:paraId="74FBA5B4" w14:textId="77777777" w:rsidR="00051356" w:rsidRPr="00D430A3" w:rsidRDefault="00051356" w:rsidP="00A672B3">
      <w:pPr>
        <w:pStyle w:val="BodyText"/>
        <w:rPr>
          <w:b/>
          <w:bCs/>
          <w:sz w:val="16"/>
          <w:szCs w:val="16"/>
        </w:rPr>
        <w:sectPr w:rsidR="00051356" w:rsidRPr="00D430A3" w:rsidSect="00F33F4F">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92A1A47" w:rsidR="004B15BB" w:rsidRPr="00D430A3" w:rsidRDefault="00C275BF" w:rsidP="007E5C16">
      <w:pPr>
        <w:pStyle w:val="Heading1"/>
      </w:pPr>
      <w:r w:rsidRPr="00D430A3">
        <w:t>Specialty Guideline Management</w:t>
      </w:r>
      <w:r w:rsidRPr="00D430A3">
        <w:br/>
        <w:t>Thalomid</w:t>
      </w:r>
    </w:p>
    <w:p w14:paraId="78861C92" w14:textId="161C4660" w:rsidR="00203468" w:rsidRPr="00D430A3" w:rsidRDefault="00C64534" w:rsidP="008E0F0D">
      <w:pPr>
        <w:pStyle w:val="Heading2"/>
      </w:pPr>
      <w:r w:rsidRPr="00D430A3">
        <w:t xml:space="preserve">Products Referenced by this </w:t>
      </w:r>
      <w:r w:rsidR="00501602" w:rsidRPr="00D430A3">
        <w:t>Document</w:t>
      </w:r>
    </w:p>
    <w:p w14:paraId="5455152B" w14:textId="70DA3D44" w:rsidR="008E0F0D" w:rsidRPr="00D430A3" w:rsidRDefault="00D82D85" w:rsidP="008B73E8">
      <w:pPr>
        <w:pStyle w:val="BodyText"/>
      </w:pPr>
      <w:r w:rsidRPr="00D430A3">
        <w:t xml:space="preserve">Drugs that are listed in the </w:t>
      </w:r>
      <w:r w:rsidR="000315F1" w:rsidRPr="00D430A3">
        <w:t>following table</w:t>
      </w:r>
      <w:r w:rsidRPr="00D430A3">
        <w:t xml:space="preserve"> include both brand and generic and all dosage forms and strengths unless otherwise stated. </w:t>
      </w:r>
      <w:r w:rsidR="008C57A9">
        <w:t>Over-the-counter (</w:t>
      </w:r>
      <w:r w:rsidRPr="00D430A3">
        <w:t>OTC</w:t>
      </w:r>
      <w:r w:rsidR="008C57A9">
        <w:t>)</w:t>
      </w:r>
      <w:r w:rsidRPr="00D430A3">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D430A3" w14:paraId="158421F8" w14:textId="77777777" w:rsidTr="000C5A6F">
        <w:trPr>
          <w:cantSplit/>
          <w:trHeight w:val="288"/>
          <w:tblHeader/>
        </w:trPr>
        <w:tc>
          <w:tcPr>
            <w:tcW w:w="5265" w:type="dxa"/>
            <w:vAlign w:val="center"/>
          </w:tcPr>
          <w:p w14:paraId="2A27354A" w14:textId="1390179E" w:rsidR="00252CE1" w:rsidRPr="00D430A3" w:rsidRDefault="00252CE1" w:rsidP="00AA1E6A">
            <w:pPr>
              <w:pStyle w:val="TableHeader"/>
            </w:pPr>
            <w:bookmarkStart w:id="0" w:name="_Hlk159603270"/>
            <w:r w:rsidRPr="00D430A3">
              <w:t>Brand Name</w:t>
            </w:r>
          </w:p>
        </w:tc>
        <w:tc>
          <w:tcPr>
            <w:tcW w:w="5595" w:type="dxa"/>
            <w:vAlign w:val="center"/>
          </w:tcPr>
          <w:p w14:paraId="3D342BE1" w14:textId="75F11EF1" w:rsidR="00252CE1" w:rsidRPr="00D430A3" w:rsidRDefault="00252CE1" w:rsidP="00AA1E6A">
            <w:pPr>
              <w:pStyle w:val="TableHeader"/>
            </w:pPr>
            <w:r w:rsidRPr="00D430A3">
              <w:t>Generic Name</w:t>
            </w:r>
          </w:p>
        </w:tc>
      </w:tr>
      <w:tr w:rsidR="00585FFF" w:rsidRPr="00D430A3" w14:paraId="2AD5C02D" w14:textId="77777777" w:rsidTr="000C5A6F">
        <w:trPr>
          <w:cantSplit/>
        </w:trPr>
        <w:tc>
          <w:tcPr>
            <w:tcW w:w="5265" w:type="dxa"/>
          </w:tcPr>
          <w:p w14:paraId="2D8FA8E3" w14:textId="5CF0DADA" w:rsidR="00585FFF" w:rsidRPr="00D430A3" w:rsidRDefault="00C275BF" w:rsidP="00E82ABA">
            <w:pPr>
              <w:pStyle w:val="TableDataUnpadded"/>
            </w:pPr>
            <w:r w:rsidRPr="00D430A3">
              <w:t>Thalomid</w:t>
            </w:r>
          </w:p>
        </w:tc>
        <w:tc>
          <w:tcPr>
            <w:tcW w:w="5595" w:type="dxa"/>
          </w:tcPr>
          <w:p w14:paraId="7E26A004" w14:textId="4535B194" w:rsidR="00585FFF" w:rsidRPr="00D430A3" w:rsidRDefault="00C275BF" w:rsidP="00E82ABA">
            <w:pPr>
              <w:pStyle w:val="TableDataUnpadded"/>
            </w:pPr>
            <w:r w:rsidRPr="00D430A3">
              <w:t>thalidomide</w:t>
            </w:r>
          </w:p>
        </w:tc>
      </w:tr>
    </w:tbl>
    <w:bookmarkEnd w:id="0"/>
    <w:p w14:paraId="14CE6108" w14:textId="7992E4EA" w:rsidR="00FC1AAD" w:rsidRPr="00D430A3" w:rsidRDefault="00ED052F" w:rsidP="00AA2A94">
      <w:pPr>
        <w:pStyle w:val="Heading2"/>
        <w:tabs>
          <w:tab w:val="left" w:pos="9540"/>
        </w:tabs>
      </w:pPr>
      <w:r w:rsidRPr="00D430A3">
        <w:t>Indications</w:t>
      </w:r>
    </w:p>
    <w:p w14:paraId="3E039017" w14:textId="3123D6F6" w:rsidR="00C275BF" w:rsidRPr="00D430A3" w:rsidRDefault="00C275BF" w:rsidP="00C275BF">
      <w:r w:rsidRPr="00D430A3">
        <w:t>The indications below including FDA-approved indications and compendial uses are considered a covered benefit provided that all the approval criteria are met and the member has no exclusions to the prescribed therapy.</w:t>
      </w:r>
    </w:p>
    <w:p w14:paraId="134B5687" w14:textId="31BD7239" w:rsidR="00ED052F" w:rsidRPr="00D430A3" w:rsidRDefault="00ED052F" w:rsidP="00ED052F">
      <w:pPr>
        <w:pStyle w:val="Heading3"/>
        <w:keepNext w:val="0"/>
      </w:pPr>
      <w:r w:rsidRPr="00D430A3">
        <w:t>FDA-</w:t>
      </w:r>
      <w:r w:rsidR="001601FF">
        <w:t>A</w:t>
      </w:r>
      <w:r w:rsidRPr="00D430A3">
        <w:t>pproved Indications</w:t>
      </w:r>
      <w:r w:rsidR="004715DB" w:rsidRPr="001601FF">
        <w:rPr>
          <w:vertAlign w:val="superscript"/>
        </w:rPr>
        <w:t>1</w:t>
      </w:r>
    </w:p>
    <w:p w14:paraId="6A80E707" w14:textId="3FB4CBD0" w:rsidR="004715DB" w:rsidRPr="00D430A3" w:rsidRDefault="004715DB" w:rsidP="004715DB">
      <w:pPr>
        <w:pStyle w:val="ListParagraph"/>
        <w:numPr>
          <w:ilvl w:val="0"/>
          <w:numId w:val="28"/>
        </w:numPr>
      </w:pPr>
      <w:r w:rsidRPr="00D430A3">
        <w:t>Thalomid in combination with dexamethasone is indicated for the treatment of patients with newly diagnosed multiple myeloma (MM).</w:t>
      </w:r>
    </w:p>
    <w:p w14:paraId="6E2BF1D3" w14:textId="25AE9C93" w:rsidR="004715DB" w:rsidRPr="00D430A3" w:rsidRDefault="004715DB" w:rsidP="004715DB">
      <w:pPr>
        <w:pStyle w:val="ListParagraph"/>
        <w:numPr>
          <w:ilvl w:val="0"/>
          <w:numId w:val="28"/>
        </w:numPr>
      </w:pPr>
      <w:r w:rsidRPr="00D430A3">
        <w:t>Erythema Nodosum Leprosum (ENL)</w:t>
      </w:r>
    </w:p>
    <w:p w14:paraId="26E91647" w14:textId="44B66FF5" w:rsidR="004715DB" w:rsidRPr="00D430A3" w:rsidRDefault="004715DB" w:rsidP="004715DB">
      <w:pPr>
        <w:pStyle w:val="ListParagraph"/>
        <w:numPr>
          <w:ilvl w:val="1"/>
          <w:numId w:val="30"/>
        </w:numPr>
      </w:pPr>
      <w:r w:rsidRPr="00D430A3">
        <w:t>Acute treatment of the cutaneous manifestations of moderate to severe ENL.</w:t>
      </w:r>
    </w:p>
    <w:p w14:paraId="5708678D" w14:textId="607DF738" w:rsidR="004715DB" w:rsidRPr="00D430A3" w:rsidRDefault="004715DB" w:rsidP="004715DB">
      <w:pPr>
        <w:pStyle w:val="ListParagraph"/>
        <w:numPr>
          <w:ilvl w:val="1"/>
          <w:numId w:val="30"/>
        </w:numPr>
      </w:pPr>
      <w:r w:rsidRPr="00D430A3">
        <w:t>Maintenance therapy for prevention and suppression of the cutaneous manifestations of ENL recurrence</w:t>
      </w:r>
    </w:p>
    <w:p w14:paraId="3CC24EC5" w14:textId="2DE2C207" w:rsidR="001601FF" w:rsidRDefault="004715DB" w:rsidP="001601FF">
      <w:pPr>
        <w:pStyle w:val="Heading4"/>
      </w:pPr>
      <w:r w:rsidRPr="001601FF">
        <w:t>Limitations of Use</w:t>
      </w:r>
    </w:p>
    <w:p w14:paraId="4E5BD48B" w14:textId="35F96C73" w:rsidR="004715DB" w:rsidRPr="00D430A3" w:rsidRDefault="004715DB" w:rsidP="001601FF">
      <w:pPr>
        <w:pStyle w:val="BodyText"/>
      </w:pPr>
      <w:r w:rsidRPr="00D430A3">
        <w:t>Thalomid is not indicated as monotherapy for ENL treatment in the presence of moderate to severe neuritis.</w:t>
      </w:r>
    </w:p>
    <w:p w14:paraId="0B5EC236" w14:textId="42C9481F" w:rsidR="0044763A" w:rsidRPr="00D430A3" w:rsidRDefault="009F2EF1" w:rsidP="0044763A">
      <w:pPr>
        <w:pStyle w:val="Heading3"/>
      </w:pPr>
      <w:r w:rsidRPr="00D430A3">
        <w:t>Compendial Uses</w:t>
      </w:r>
      <w:r w:rsidR="004715DB" w:rsidRPr="00D430A3">
        <w:rPr>
          <w:vertAlign w:val="superscript"/>
        </w:rPr>
        <w:t>2-5</w:t>
      </w:r>
    </w:p>
    <w:p w14:paraId="42A48D47" w14:textId="0A4A47B8" w:rsidR="004715DB" w:rsidRPr="00D430A3" w:rsidRDefault="004715DB" w:rsidP="004715DB">
      <w:pPr>
        <w:pStyle w:val="ListParagraph"/>
        <w:numPr>
          <w:ilvl w:val="0"/>
          <w:numId w:val="31"/>
        </w:numPr>
      </w:pPr>
      <w:r w:rsidRPr="00D430A3">
        <w:t>Multiple Myeloma</w:t>
      </w:r>
    </w:p>
    <w:p w14:paraId="736FE089" w14:textId="6514A297" w:rsidR="004715DB" w:rsidRPr="00D430A3" w:rsidRDefault="004715DB" w:rsidP="004715DB">
      <w:pPr>
        <w:pStyle w:val="ListParagraph"/>
        <w:numPr>
          <w:ilvl w:val="0"/>
          <w:numId w:val="31"/>
        </w:numPr>
      </w:pPr>
      <w:r w:rsidRPr="00D430A3">
        <w:lastRenderedPageBreak/>
        <w:t>Multicentric Castleman disease</w:t>
      </w:r>
    </w:p>
    <w:p w14:paraId="2605DD7C" w14:textId="01835A67" w:rsidR="004715DB" w:rsidRPr="00D430A3" w:rsidRDefault="004715DB" w:rsidP="004715DB">
      <w:pPr>
        <w:pStyle w:val="ListParagraph"/>
        <w:numPr>
          <w:ilvl w:val="0"/>
          <w:numId w:val="31"/>
        </w:numPr>
      </w:pPr>
      <w:r w:rsidRPr="00D430A3">
        <w:t>Aphthous stomatitis</w:t>
      </w:r>
    </w:p>
    <w:p w14:paraId="4A0E9F4F" w14:textId="23C9B2D3" w:rsidR="004715DB" w:rsidRPr="00D430A3" w:rsidRDefault="004715DB" w:rsidP="004715DB">
      <w:pPr>
        <w:pStyle w:val="ListParagraph"/>
        <w:numPr>
          <w:ilvl w:val="0"/>
          <w:numId w:val="31"/>
        </w:numPr>
      </w:pPr>
      <w:r w:rsidRPr="00D430A3">
        <w:t>Kaposi sarcoma</w:t>
      </w:r>
    </w:p>
    <w:p w14:paraId="2E027B8F" w14:textId="467326BB" w:rsidR="004715DB" w:rsidRPr="00D430A3" w:rsidRDefault="004715DB" w:rsidP="004715DB">
      <w:pPr>
        <w:pStyle w:val="ListParagraph"/>
        <w:numPr>
          <w:ilvl w:val="0"/>
          <w:numId w:val="31"/>
        </w:numPr>
      </w:pPr>
      <w:r w:rsidRPr="00D430A3">
        <w:t>Chronic graft-versus-host disease</w:t>
      </w:r>
    </w:p>
    <w:p w14:paraId="304AD8F8" w14:textId="3BBFF1E2" w:rsidR="004715DB" w:rsidRPr="00D430A3" w:rsidRDefault="004715DB" w:rsidP="004715DB">
      <w:pPr>
        <w:pStyle w:val="ListParagraph"/>
        <w:numPr>
          <w:ilvl w:val="0"/>
          <w:numId w:val="31"/>
        </w:numPr>
      </w:pPr>
      <w:r w:rsidRPr="00D430A3">
        <w:t>Crohn’s disease</w:t>
      </w:r>
    </w:p>
    <w:p w14:paraId="42726887" w14:textId="638C28AF" w:rsidR="004715DB" w:rsidRPr="00D430A3" w:rsidRDefault="004715DB" w:rsidP="004715DB">
      <w:pPr>
        <w:pStyle w:val="ListParagraph"/>
        <w:numPr>
          <w:ilvl w:val="0"/>
          <w:numId w:val="31"/>
        </w:numPr>
      </w:pPr>
      <w:r w:rsidRPr="00D430A3">
        <w:t>Histiocytic neoplasms</w:t>
      </w:r>
    </w:p>
    <w:p w14:paraId="3A20D2FE" w14:textId="5FF8F1F9" w:rsidR="004715DB" w:rsidRPr="00D430A3" w:rsidRDefault="004715DB" w:rsidP="004715DB">
      <w:pPr>
        <w:pStyle w:val="ListParagraph"/>
        <w:numPr>
          <w:ilvl w:val="1"/>
          <w:numId w:val="33"/>
        </w:numPr>
      </w:pPr>
      <w:r w:rsidRPr="00D430A3">
        <w:t>Langerhans cell histiocytosis</w:t>
      </w:r>
    </w:p>
    <w:p w14:paraId="17043AC1" w14:textId="123A5B29" w:rsidR="004715DB" w:rsidRDefault="004715DB" w:rsidP="004715DB">
      <w:pPr>
        <w:pStyle w:val="ListParagraph"/>
        <w:numPr>
          <w:ilvl w:val="1"/>
          <w:numId w:val="33"/>
        </w:numPr>
      </w:pPr>
      <w:r w:rsidRPr="00D430A3">
        <w:t>Rosai-Dorfman disease</w:t>
      </w:r>
    </w:p>
    <w:p w14:paraId="0C723D8A" w14:textId="153618CD" w:rsidR="00794248" w:rsidRPr="00D430A3" w:rsidRDefault="00794248" w:rsidP="00082307">
      <w:pPr>
        <w:pStyle w:val="ListParagraph"/>
        <w:numPr>
          <w:ilvl w:val="0"/>
          <w:numId w:val="33"/>
        </w:numPr>
      </w:pPr>
      <w:bookmarkStart w:id="1" w:name="_Hlk179275089"/>
      <w:r>
        <w:t>Pediatric Medulloblastoma</w:t>
      </w:r>
    </w:p>
    <w:bookmarkEnd w:id="1"/>
    <w:p w14:paraId="73385771" w14:textId="184EC140" w:rsidR="004715DB" w:rsidRPr="00D430A3" w:rsidRDefault="004715DB" w:rsidP="004715DB">
      <w:pPr>
        <w:pStyle w:val="BodyText"/>
      </w:pPr>
      <w:r w:rsidRPr="00D430A3">
        <w:t>All other indications are considered experimental/investigational and not medically necessary.</w:t>
      </w:r>
    </w:p>
    <w:p w14:paraId="50A38FBA" w14:textId="383AE0B6" w:rsidR="00FE0C63" w:rsidRPr="00D430A3" w:rsidRDefault="00685107" w:rsidP="00E050E1">
      <w:pPr>
        <w:pStyle w:val="Heading2"/>
      </w:pPr>
      <w:r w:rsidRPr="00D430A3">
        <w:t>Coverage Criteria</w:t>
      </w:r>
    </w:p>
    <w:p w14:paraId="542B669D" w14:textId="58040C2D" w:rsidR="004715DB" w:rsidRPr="00D430A3" w:rsidRDefault="004715DB" w:rsidP="00BF0E9D">
      <w:pPr>
        <w:pStyle w:val="Heading3"/>
      </w:pPr>
      <w:r w:rsidRPr="00D430A3">
        <w:t>Multiple Myeloma</w:t>
      </w:r>
      <w:r w:rsidRPr="00D430A3">
        <w:rPr>
          <w:vertAlign w:val="superscript"/>
        </w:rPr>
        <w:t>1-5</w:t>
      </w:r>
    </w:p>
    <w:p w14:paraId="171AA3A8" w14:textId="1126752D" w:rsidR="004715DB" w:rsidRPr="00D430A3" w:rsidRDefault="004715DB" w:rsidP="001601FF">
      <w:pPr>
        <w:pStyle w:val="BodyText"/>
      </w:pPr>
      <w:r w:rsidRPr="00D430A3">
        <w:t>Authorization of 12 months may be granted for treatment of multiple myeloma.</w:t>
      </w:r>
    </w:p>
    <w:p w14:paraId="11F87DDA" w14:textId="0B0FC6FE" w:rsidR="004715DB" w:rsidRPr="00D430A3" w:rsidRDefault="004715DB" w:rsidP="00BF0E9D">
      <w:pPr>
        <w:pStyle w:val="Heading3"/>
      </w:pPr>
      <w:r w:rsidRPr="00D430A3">
        <w:t>Erythema Nodosum Leprosum</w:t>
      </w:r>
      <w:r w:rsidRPr="00D430A3">
        <w:rPr>
          <w:vertAlign w:val="superscript"/>
        </w:rPr>
        <w:t>1</w:t>
      </w:r>
    </w:p>
    <w:p w14:paraId="0997278F" w14:textId="4B5C59AB" w:rsidR="004715DB" w:rsidRPr="00D430A3" w:rsidRDefault="004715DB" w:rsidP="001601FF">
      <w:pPr>
        <w:pStyle w:val="BodyText"/>
      </w:pPr>
      <w:r w:rsidRPr="00D430A3">
        <w:t>Authorization of 12 months may be granted for treatment and prevention of erythema nodosum leprosum.</w:t>
      </w:r>
    </w:p>
    <w:p w14:paraId="06D53EA4" w14:textId="26D51268" w:rsidR="004715DB" w:rsidRPr="00D430A3" w:rsidRDefault="004715DB" w:rsidP="00BF0E9D">
      <w:pPr>
        <w:pStyle w:val="Heading3"/>
      </w:pPr>
      <w:r w:rsidRPr="00D430A3">
        <w:t>Crohn’s Disease</w:t>
      </w:r>
      <w:r w:rsidRPr="00D430A3">
        <w:rPr>
          <w:vertAlign w:val="superscript"/>
        </w:rPr>
        <w:t>2</w:t>
      </w:r>
    </w:p>
    <w:p w14:paraId="1070EB94" w14:textId="5ACED208" w:rsidR="004715DB" w:rsidRPr="00D430A3" w:rsidRDefault="004715DB" w:rsidP="004715DB">
      <w:r w:rsidRPr="00D430A3">
        <w:t>Authorization of 12 months may be granted for treatment of Crohn’s disease.</w:t>
      </w:r>
    </w:p>
    <w:p w14:paraId="570A3C6B" w14:textId="572FD74D" w:rsidR="004715DB" w:rsidRPr="00D430A3" w:rsidRDefault="004715DB" w:rsidP="00BF0E9D">
      <w:pPr>
        <w:pStyle w:val="Heading3"/>
      </w:pPr>
      <w:r w:rsidRPr="00D430A3">
        <w:t>Kaposi Sarcoma</w:t>
      </w:r>
      <w:r w:rsidRPr="00D430A3">
        <w:rPr>
          <w:vertAlign w:val="superscript"/>
        </w:rPr>
        <w:t>3</w:t>
      </w:r>
    </w:p>
    <w:p w14:paraId="6A89AB21" w14:textId="52351E0E" w:rsidR="004715DB" w:rsidRPr="00D430A3" w:rsidRDefault="004715DB" w:rsidP="001601FF">
      <w:pPr>
        <w:pStyle w:val="BodyText"/>
      </w:pPr>
      <w:r w:rsidRPr="00D430A3">
        <w:t>Authorization of 12 months may be granted for treatment of Kaposi sarcoma as subsequent therapy.</w:t>
      </w:r>
    </w:p>
    <w:p w14:paraId="3E76F278" w14:textId="616395AA" w:rsidR="004715DB" w:rsidRPr="00D430A3" w:rsidRDefault="004715DB" w:rsidP="00BF0E9D">
      <w:pPr>
        <w:pStyle w:val="Heading3"/>
      </w:pPr>
      <w:r w:rsidRPr="00D430A3">
        <w:t>Chronic Graft-versus-Host Disease</w:t>
      </w:r>
      <w:r w:rsidRPr="00D430A3">
        <w:rPr>
          <w:vertAlign w:val="superscript"/>
        </w:rPr>
        <w:t>2</w:t>
      </w:r>
    </w:p>
    <w:p w14:paraId="74CBA22C" w14:textId="0BDE0306" w:rsidR="004715DB" w:rsidRPr="00D430A3" w:rsidRDefault="004715DB" w:rsidP="001601FF">
      <w:pPr>
        <w:pStyle w:val="BodyText"/>
      </w:pPr>
      <w:r w:rsidRPr="00D430A3">
        <w:t>Authorization of 12 months may be granted for treatment of chronic graft-versus-host disease.</w:t>
      </w:r>
    </w:p>
    <w:p w14:paraId="4319667F" w14:textId="44717BCA" w:rsidR="004715DB" w:rsidRPr="00D430A3" w:rsidRDefault="004715DB" w:rsidP="00BF0E9D">
      <w:pPr>
        <w:pStyle w:val="Heading3"/>
      </w:pPr>
      <w:r w:rsidRPr="00D430A3">
        <w:t>Multicentric Castleman Disease</w:t>
      </w:r>
      <w:r w:rsidRPr="00D430A3">
        <w:rPr>
          <w:vertAlign w:val="superscript"/>
        </w:rPr>
        <w:t>3</w:t>
      </w:r>
    </w:p>
    <w:p w14:paraId="3D06FD7D" w14:textId="50A6D6D7" w:rsidR="004715DB" w:rsidRPr="00D430A3" w:rsidRDefault="004715DB" w:rsidP="001601FF">
      <w:pPr>
        <w:pStyle w:val="BodyText"/>
      </w:pPr>
      <w:r w:rsidRPr="00D430A3">
        <w:t>Authorization of 12 months may be granted for treatment of multicentric Castleman disease.</w:t>
      </w:r>
    </w:p>
    <w:p w14:paraId="503780CC" w14:textId="6F52A27C" w:rsidR="004715DB" w:rsidRPr="00D430A3" w:rsidRDefault="004715DB" w:rsidP="005B6A73">
      <w:pPr>
        <w:pStyle w:val="Heading3"/>
      </w:pPr>
      <w:r w:rsidRPr="00D430A3">
        <w:t>Aphthous Stomatitis</w:t>
      </w:r>
      <w:r w:rsidRPr="00D430A3">
        <w:rPr>
          <w:vertAlign w:val="superscript"/>
        </w:rPr>
        <w:t>2,5</w:t>
      </w:r>
    </w:p>
    <w:p w14:paraId="60B5FD68" w14:textId="74F8293B" w:rsidR="004715DB" w:rsidRPr="00D430A3" w:rsidRDefault="004715DB" w:rsidP="001601FF">
      <w:pPr>
        <w:pStyle w:val="BodyText"/>
      </w:pPr>
      <w:r w:rsidRPr="00D430A3">
        <w:t>Authorization of 12 months may be granted for treatment of AIDS-related aphthous stomatitis and recurrent aphthous stomatitis in immunocompromised members.</w:t>
      </w:r>
    </w:p>
    <w:p w14:paraId="40C759D2" w14:textId="52C54515" w:rsidR="004715DB" w:rsidRPr="00D430A3" w:rsidRDefault="004715DB" w:rsidP="005B6A73">
      <w:pPr>
        <w:pStyle w:val="Heading3"/>
      </w:pPr>
      <w:r w:rsidRPr="00D430A3">
        <w:t>Histiocytic Neoplasms</w:t>
      </w:r>
      <w:r w:rsidRPr="00D430A3">
        <w:rPr>
          <w:vertAlign w:val="superscript"/>
        </w:rPr>
        <w:t>3</w:t>
      </w:r>
    </w:p>
    <w:p w14:paraId="7BB48B10" w14:textId="5682ABC6" w:rsidR="004715DB" w:rsidRPr="00D430A3" w:rsidRDefault="004715DB" w:rsidP="001601FF">
      <w:pPr>
        <w:pStyle w:val="BodyText"/>
      </w:pPr>
      <w:r w:rsidRPr="00D430A3">
        <w:t>Authorization of 12 months may be granted for treatment of histiocytic neoplasms, including Langerhans cell histiocytosis and Rosai-Dorfman disease, as a single agent.</w:t>
      </w:r>
      <w:r w:rsidR="00D430A3">
        <w:t xml:space="preserve"> </w:t>
      </w:r>
    </w:p>
    <w:p w14:paraId="0892B32A" w14:textId="15A5391D" w:rsidR="00794248" w:rsidRDefault="00794248">
      <w:pPr>
        <w:pStyle w:val="Heading3"/>
      </w:pPr>
      <w:r w:rsidRPr="00794248">
        <w:t>Pediatric Medulloblastoma</w:t>
      </w:r>
      <w:r>
        <w:rPr>
          <w:vertAlign w:val="superscript"/>
        </w:rPr>
        <w:t>3</w:t>
      </w:r>
    </w:p>
    <w:p w14:paraId="3BEAA275" w14:textId="76689D66" w:rsidR="00794248" w:rsidRPr="00794248" w:rsidRDefault="00794248" w:rsidP="00082307">
      <w:pPr>
        <w:pStyle w:val="BodyText"/>
      </w:pPr>
      <w:r>
        <w:t>Authorization of 12 months may be granted for treatment of</w:t>
      </w:r>
      <w:r w:rsidR="005219A5">
        <w:t xml:space="preserve"> recurrent or progressive</w:t>
      </w:r>
      <w:r>
        <w:t xml:space="preserve"> pediatric medulloblastoma as part of MEMMAT (thalidomide, celecoxib, fenofibrate, etoposide, cyclophosphamide, bevacizumab) regimen.</w:t>
      </w:r>
    </w:p>
    <w:p w14:paraId="3A643EC3" w14:textId="6663780E" w:rsidR="00A501AC" w:rsidRPr="00D430A3" w:rsidRDefault="00A501AC" w:rsidP="00A501AC">
      <w:pPr>
        <w:pStyle w:val="Heading2"/>
      </w:pPr>
      <w:r w:rsidRPr="00D430A3">
        <w:t>Continuation of Therapy</w:t>
      </w:r>
    </w:p>
    <w:p w14:paraId="677B30DB" w14:textId="7751B4F8" w:rsidR="00BF0E9D" w:rsidRPr="00D430A3" w:rsidRDefault="00BF0E9D" w:rsidP="00BF0E9D">
      <w:pPr>
        <w:pStyle w:val="Heading3"/>
      </w:pPr>
      <w:r w:rsidRPr="00D430A3">
        <w:t>Multiple Myeloma, Multicentric Castleman Disease, Histiocytic Neoplasms, Kaposi sarcoma</w:t>
      </w:r>
      <w:r w:rsidR="00174BB4">
        <w:t>, and Pediatric Medulloblastoma</w:t>
      </w:r>
    </w:p>
    <w:p w14:paraId="498D8C8E" w14:textId="14987EDD" w:rsidR="00BF0E9D" w:rsidRPr="00D430A3" w:rsidRDefault="00BF0E9D" w:rsidP="001601FF">
      <w:pPr>
        <w:pStyle w:val="BodyText"/>
      </w:pPr>
      <w:r w:rsidRPr="00D430A3">
        <w:t>Authorization of 12 months may be granted for continued treatment in members requesting reauthorization for multiple myeloma, multicentric Castleman Disease, histiocytic neoplasms,  Kaposi sarcoma</w:t>
      </w:r>
      <w:r w:rsidR="003B674D">
        <w:t xml:space="preserve">, or </w:t>
      </w:r>
      <w:proofErr w:type="spellStart"/>
      <w:r w:rsidR="003B674D">
        <w:t>peditric</w:t>
      </w:r>
      <w:proofErr w:type="spellEnd"/>
      <w:r w:rsidR="003B674D">
        <w:t xml:space="preserve"> medulloblastoma</w:t>
      </w:r>
      <w:r w:rsidRPr="00D430A3">
        <w:t xml:space="preserve"> when there is no evidence of unacceptable toxicity or disease progression while on the current regimen.</w:t>
      </w:r>
    </w:p>
    <w:p w14:paraId="56560451" w14:textId="51BF0D42" w:rsidR="00BF0E9D" w:rsidRPr="00D430A3" w:rsidRDefault="00BF0E9D" w:rsidP="00BF0E9D">
      <w:pPr>
        <w:pStyle w:val="Heading3"/>
      </w:pPr>
      <w:r w:rsidRPr="00D430A3">
        <w:t>All Other Indications</w:t>
      </w:r>
    </w:p>
    <w:p w14:paraId="16F3197D" w14:textId="3947A5FF" w:rsidR="00BF0E9D" w:rsidRDefault="00BF0E9D" w:rsidP="001601FF">
      <w:pPr>
        <w:pStyle w:val="BodyText"/>
      </w:pPr>
      <w:r w:rsidRPr="00D430A3">
        <w:t xml:space="preserve">Authorization of 12 months may be granted for continued treatment in members requesting reauthorization for an indication listed in the coverage criteria section, other than multiple myeloma, multicentric Castleman disease, histiocytic neoplasms, Kaposi sarcoma, </w:t>
      </w:r>
      <w:r w:rsidR="003B674D">
        <w:t xml:space="preserve">or pediatric medulloblastoma </w:t>
      </w:r>
      <w:r w:rsidRPr="00D430A3">
        <w:t>who have improvement in symptoms and no unacceptable toxicity.</w:t>
      </w:r>
    </w:p>
    <w:p w14:paraId="10DA4309" w14:textId="7635ED9E" w:rsidR="00FF66BF" w:rsidRPr="00D430A3" w:rsidRDefault="00FF66BF" w:rsidP="00FF66BF">
      <w:pPr>
        <w:pStyle w:val="Heading2"/>
      </w:pPr>
      <w:r w:rsidRPr="00D430A3">
        <w:t>References</w:t>
      </w:r>
    </w:p>
    <w:p w14:paraId="2367D540" w14:textId="0ADDDD90" w:rsidR="00BF0E9D" w:rsidRPr="001601FF" w:rsidRDefault="00BF0E9D" w:rsidP="001601FF">
      <w:pPr>
        <w:pStyle w:val="ReferenceOrdered"/>
      </w:pPr>
      <w:r w:rsidRPr="001601FF">
        <w:t>Thalomid [package insert]. Summit, NJ: Celgene Corporation; March 2023.</w:t>
      </w:r>
    </w:p>
    <w:p w14:paraId="616CB5C4" w14:textId="04D4E7A4" w:rsidR="00BF0E9D" w:rsidRPr="001601FF" w:rsidRDefault="00BF0E9D" w:rsidP="001601FF">
      <w:pPr>
        <w:pStyle w:val="ReferenceOrdered"/>
      </w:pPr>
      <w:r w:rsidRPr="001601FF">
        <w:t>AHFS Drug Information. (Adult and Pediatric) Bethesda, MD.</w:t>
      </w:r>
      <w:r w:rsidR="00D430A3" w:rsidRPr="001601FF">
        <w:t xml:space="preserve"> </w:t>
      </w:r>
      <w:r w:rsidRPr="001601FF">
        <w:t xml:space="preserve">American Society of Health System Pharmacists, Inc. Electronic version. Updated </w:t>
      </w:r>
      <w:r w:rsidR="00794248">
        <w:t>October</w:t>
      </w:r>
      <w:r w:rsidR="00794248" w:rsidRPr="001601FF">
        <w:t xml:space="preserve"> </w:t>
      </w:r>
      <w:r w:rsidRPr="001601FF">
        <w:t>2, 202</w:t>
      </w:r>
      <w:r w:rsidR="00794248">
        <w:t>4</w:t>
      </w:r>
      <w:r w:rsidRPr="001601FF">
        <w:t xml:space="preserve">. Available with subscription. URL: http://online.lexi.com/lco. Accessed October </w:t>
      </w:r>
      <w:r w:rsidR="00794248">
        <w:t>8</w:t>
      </w:r>
      <w:r w:rsidRPr="001601FF">
        <w:t>, 202</w:t>
      </w:r>
      <w:r w:rsidR="00794248">
        <w:t>4</w:t>
      </w:r>
      <w:r w:rsidRPr="001601FF">
        <w:t>.</w:t>
      </w:r>
    </w:p>
    <w:p w14:paraId="4E9FF8D4" w14:textId="07F1F94C" w:rsidR="00BF0E9D" w:rsidRPr="001601FF" w:rsidRDefault="00BF0E9D" w:rsidP="001601FF">
      <w:pPr>
        <w:pStyle w:val="ReferenceOrdered"/>
      </w:pPr>
      <w:r w:rsidRPr="001601FF">
        <w:t>The NCCN Drugs &amp; Biologics Compendium® © 202</w:t>
      </w:r>
      <w:r w:rsidR="00794248">
        <w:t>4</w:t>
      </w:r>
      <w:r w:rsidRPr="001601FF">
        <w:t xml:space="preserve"> National Comprehensive Cancer Network, Inc. http://www.nccn.org. Accessed October </w:t>
      </w:r>
      <w:r w:rsidR="00794248">
        <w:t>8</w:t>
      </w:r>
      <w:r w:rsidRPr="001601FF">
        <w:t>, 202</w:t>
      </w:r>
      <w:r w:rsidR="00794248">
        <w:t>4</w:t>
      </w:r>
      <w:r w:rsidRPr="001601FF">
        <w:t>.</w:t>
      </w:r>
    </w:p>
    <w:p w14:paraId="09912144" w14:textId="2FE94FB5" w:rsidR="00BF0E9D" w:rsidRPr="001601FF" w:rsidRDefault="00BF0E9D" w:rsidP="001601FF">
      <w:pPr>
        <w:pStyle w:val="ReferenceOrdered"/>
      </w:pPr>
      <w:r w:rsidRPr="001601FF">
        <w:t xml:space="preserve">DRUGDEX® System (electronic version). Micromedex Truven Health Analytics, Greenwood Village, Colorado, USA. Available at: http://www.micromedexsolutions.com. Accessed October </w:t>
      </w:r>
      <w:r w:rsidR="00794248">
        <w:t>8</w:t>
      </w:r>
      <w:r w:rsidRPr="001601FF">
        <w:t>, 202</w:t>
      </w:r>
      <w:r w:rsidR="00794248">
        <w:t>4</w:t>
      </w:r>
      <w:r w:rsidRPr="001601FF">
        <w:t>.</w:t>
      </w:r>
    </w:p>
    <w:p w14:paraId="59589797" w14:textId="6F44ED2A" w:rsidR="00BF0E9D" w:rsidRPr="001601FF" w:rsidRDefault="00BF0E9D" w:rsidP="001601FF">
      <w:pPr>
        <w:pStyle w:val="ReferenceOrdered"/>
      </w:pPr>
      <w:r w:rsidRPr="001601FF">
        <w:t xml:space="preserve">Lexicomp Online, Lexi-Drugs Online. Waltham, MA: UpToDate, Inc.; Updated </w:t>
      </w:r>
      <w:r w:rsidR="00794248">
        <w:t>October</w:t>
      </w:r>
      <w:r w:rsidR="00794248" w:rsidRPr="001601FF">
        <w:t xml:space="preserve"> </w:t>
      </w:r>
      <w:r w:rsidRPr="001601FF">
        <w:t xml:space="preserve">2, 2023. https://online.lexi.com. Accessed October </w:t>
      </w:r>
      <w:r w:rsidR="00794248">
        <w:t>8</w:t>
      </w:r>
      <w:r w:rsidRPr="001601FF">
        <w:t>, 202</w:t>
      </w:r>
      <w:r w:rsidR="00794248">
        <w:t>4</w:t>
      </w:r>
      <w:r w:rsidRPr="001601FF">
        <w:t>.</w:t>
      </w:r>
    </w:p>
    <w:sectPr w:rsidR="00BF0E9D" w:rsidRPr="001601FF" w:rsidSect="00082307">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CC88B" w14:textId="77777777" w:rsidR="009B13EB" w:rsidRDefault="009B13EB">
      <w:r>
        <w:separator/>
      </w:r>
    </w:p>
  </w:endnote>
  <w:endnote w:type="continuationSeparator" w:id="0">
    <w:p w14:paraId="50BCC979" w14:textId="77777777" w:rsidR="009B13EB" w:rsidRDefault="009B13EB">
      <w:r>
        <w:continuationSeparator/>
      </w:r>
    </w:p>
  </w:endnote>
  <w:endnote w:type="continuationNotice" w:id="1">
    <w:p w14:paraId="4B24FA15" w14:textId="77777777" w:rsidR="009B13EB" w:rsidRDefault="009B13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AE9E000"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A74D8" w:rsidRPr="004A74D8">
      <w:rPr>
        <w:rFonts w:cs="Arial"/>
        <w:noProof/>
        <w:sz w:val="16"/>
        <w:szCs w:val="16"/>
      </w:rPr>
      <w:t>Thalomid</w:t>
    </w:r>
    <w:r w:rsidR="004A74D8">
      <w:rPr>
        <w:rFonts w:cs="Arial"/>
        <w:noProof/>
        <w:snapToGrid w:val="0"/>
        <w:color w:val="000000"/>
        <w:sz w:val="16"/>
        <w:szCs w:val="16"/>
      </w:rPr>
      <w:t xml:space="preserve"> SGM 2368-A</w:t>
    </w:r>
    <w:r w:rsidR="004A74D8" w:rsidRPr="004A74D8">
      <w:rPr>
        <w:rFonts w:cs="Arial"/>
        <w:noProof/>
        <w:sz w:val="16"/>
        <w:szCs w:val="16"/>
      </w:rPr>
      <w:t xml:space="preserve"> P2024.docx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533AFC6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36063CE"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A74D8" w:rsidRPr="004A74D8">
      <w:rPr>
        <w:rFonts w:cs="Arial"/>
        <w:noProof/>
        <w:sz w:val="16"/>
        <w:szCs w:val="16"/>
      </w:rPr>
      <w:t>Thalomid</w:t>
    </w:r>
    <w:r w:rsidR="004A74D8">
      <w:rPr>
        <w:rFonts w:cs="Arial"/>
        <w:noProof/>
        <w:snapToGrid w:val="0"/>
        <w:color w:val="000000"/>
        <w:sz w:val="16"/>
        <w:szCs w:val="16"/>
      </w:rPr>
      <w:t xml:space="preserve"> SGM 2368-A </w:t>
    </w:r>
    <w:r w:rsidR="004A74D8" w:rsidRPr="004A74D8">
      <w:rPr>
        <w:rFonts w:cs="Arial"/>
        <w:noProof/>
        <w:sz w:val="16"/>
        <w:szCs w:val="16"/>
      </w:rPr>
      <w:t>P2024.docx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3672F2C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1D3145F" w14:textId="77777777" w:rsidR="00F50D98" w:rsidRPr="00EC47B6" w:rsidRDefault="00F50D98" w:rsidP="00F50D98">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19DAF" w14:textId="17157588" w:rsidR="00BF0E9D" w:rsidRPr="00F50D98" w:rsidRDefault="00BF0E9D"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DA397" w14:textId="77777777" w:rsidR="009B13EB" w:rsidRDefault="009B13EB">
      <w:r>
        <w:separator/>
      </w:r>
    </w:p>
  </w:footnote>
  <w:footnote w:type="continuationSeparator" w:id="0">
    <w:p w14:paraId="7A775641" w14:textId="77777777" w:rsidR="009B13EB" w:rsidRDefault="009B13EB">
      <w:r>
        <w:continuationSeparator/>
      </w:r>
    </w:p>
  </w:footnote>
  <w:footnote w:type="continuationNotice" w:id="1">
    <w:p w14:paraId="3BADD521" w14:textId="77777777" w:rsidR="009B13EB" w:rsidRDefault="009B13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BF0E9D" w:rsidRDefault="00ED04EC" w:rsidP="00ED04EC">
          <w:pPr>
            <w:pStyle w:val="Header"/>
            <w:rPr>
              <w:rFonts w:cs="Arial"/>
              <w:sz w:val="16"/>
              <w:szCs w:val="16"/>
            </w:rPr>
          </w:pPr>
          <w:r w:rsidRPr="00BF0E9D">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2DBD8E76" w:rsidR="00ED04EC" w:rsidRPr="00BF0E9D" w:rsidRDefault="00BF0E9D" w:rsidP="00ED04EC">
          <w:pPr>
            <w:pStyle w:val="Header"/>
            <w:rPr>
              <w:rFonts w:cs="Arial"/>
              <w:sz w:val="16"/>
              <w:szCs w:val="16"/>
            </w:rPr>
          </w:pPr>
          <w:r w:rsidRPr="00BF0E9D">
            <w:rPr>
              <w:rFonts w:cs="Arial"/>
              <w:sz w:val="16"/>
              <w:szCs w:val="16"/>
            </w:rPr>
            <w:t>2368-A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BF0E9D" w:rsidRPr="00BF0E9D" w14:paraId="4E4D7C97" w14:textId="77777777" w:rsidTr="000D7B45">
      <w:trPr>
        <w:trHeight w:val="144"/>
        <w:jc w:val="right"/>
      </w:trPr>
      <w:tc>
        <w:tcPr>
          <w:tcW w:w="1854" w:type="dxa"/>
          <w:hideMark/>
        </w:tcPr>
        <w:p w14:paraId="00F190D2" w14:textId="77777777" w:rsidR="00BF0E9D" w:rsidRPr="00BF0E9D" w:rsidRDefault="00BF0E9D" w:rsidP="00BF0E9D">
          <w:pPr>
            <w:pStyle w:val="Header"/>
            <w:rPr>
              <w:rFonts w:cs="Arial"/>
              <w:sz w:val="16"/>
              <w:szCs w:val="16"/>
            </w:rPr>
          </w:pPr>
          <w:r w:rsidRPr="00BF0E9D">
            <w:rPr>
              <w:rFonts w:cs="Arial"/>
              <w:sz w:val="16"/>
              <w:szCs w:val="16"/>
            </w:rPr>
            <w:t>Reference number(s)</w:t>
          </w:r>
        </w:p>
      </w:tc>
    </w:tr>
    <w:tr w:rsidR="00BF0E9D" w:rsidRPr="00BF0E9D" w14:paraId="6D4D0606" w14:textId="77777777" w:rsidTr="000D7B45">
      <w:trPr>
        <w:trHeight w:val="378"/>
        <w:jc w:val="right"/>
      </w:trPr>
      <w:tc>
        <w:tcPr>
          <w:tcW w:w="1854" w:type="dxa"/>
          <w:hideMark/>
        </w:tcPr>
        <w:p w14:paraId="0DB17E75" w14:textId="77777777" w:rsidR="00BF0E9D" w:rsidRPr="00BF0E9D" w:rsidRDefault="00BF0E9D" w:rsidP="00BF0E9D">
          <w:pPr>
            <w:pStyle w:val="Header"/>
            <w:rPr>
              <w:rFonts w:cs="Arial"/>
              <w:sz w:val="16"/>
              <w:szCs w:val="16"/>
            </w:rPr>
          </w:pPr>
          <w:r w:rsidRPr="00BF0E9D">
            <w:rPr>
              <w:rFonts w:cs="Arial"/>
              <w:sz w:val="16"/>
              <w:szCs w:val="16"/>
            </w:rPr>
            <w:t>2368-A</w:t>
          </w:r>
        </w:p>
      </w:tc>
    </w:tr>
  </w:tbl>
  <w:p w14:paraId="513BDF47" w14:textId="77777777" w:rsidR="00BF0E9D" w:rsidRPr="00BF0E9D" w:rsidRDefault="00BF0E9D">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2A3A1E"/>
    <w:multiLevelType w:val="hybridMultilevel"/>
    <w:tmpl w:val="0D4EC28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B3B063E"/>
    <w:multiLevelType w:val="hybridMultilevel"/>
    <w:tmpl w:val="A5CACF8A"/>
    <w:lvl w:ilvl="0" w:tplc="CF58E5D2">
      <w:start w:val="1"/>
      <w:numFmt w:val="decimal"/>
      <w:lvlText w:val="%1."/>
      <w:lvlJc w:val="left"/>
      <w:pPr>
        <w:ind w:left="1080" w:hanging="720"/>
      </w:pPr>
      <w:rPr>
        <w:rFonts w:hint="default"/>
      </w:rPr>
    </w:lvl>
    <w:lvl w:ilvl="1" w:tplc="5A029BB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429699D"/>
    <w:multiLevelType w:val="hybridMultilevel"/>
    <w:tmpl w:val="FD2E5B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334EFB"/>
    <w:multiLevelType w:val="hybridMultilevel"/>
    <w:tmpl w:val="F392BD8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FC77BC"/>
    <w:multiLevelType w:val="hybridMultilevel"/>
    <w:tmpl w:val="2280C96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9700B1B"/>
    <w:multiLevelType w:val="hybridMultilevel"/>
    <w:tmpl w:val="9D6239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C05EFA"/>
    <w:multiLevelType w:val="hybridMultilevel"/>
    <w:tmpl w:val="8C4A53DC"/>
    <w:lvl w:ilvl="0" w:tplc="718EEFE0">
      <w:start w:val="1"/>
      <w:numFmt w:val="decimal"/>
      <w:lvlText w:val="%1."/>
      <w:lvlJc w:val="left"/>
      <w:pPr>
        <w:ind w:left="1080" w:hanging="720"/>
      </w:pPr>
      <w:rPr>
        <w:rFonts w:hint="default"/>
      </w:rPr>
    </w:lvl>
    <w:lvl w:ilvl="1" w:tplc="AF8ABF4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C65D89"/>
    <w:multiLevelType w:val="hybridMultilevel"/>
    <w:tmpl w:val="14AC5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620743"/>
    <w:multiLevelType w:val="hybridMultilevel"/>
    <w:tmpl w:val="BC50BE9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446714D"/>
    <w:multiLevelType w:val="hybridMultilevel"/>
    <w:tmpl w:val="16C4DF5C"/>
    <w:lvl w:ilvl="0" w:tplc="807483B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BA2C8F"/>
    <w:multiLevelType w:val="hybridMultilevel"/>
    <w:tmpl w:val="30FEE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FB1B99"/>
    <w:multiLevelType w:val="hybridMultilevel"/>
    <w:tmpl w:val="7FCAD912"/>
    <w:lvl w:ilvl="0" w:tplc="1C88110A">
      <w:start w:val="1"/>
      <w:numFmt w:val="decimal"/>
      <w:lvlText w:val="%1."/>
      <w:lvlJc w:val="left"/>
      <w:pPr>
        <w:ind w:left="1080" w:hanging="720"/>
      </w:pPr>
      <w:rPr>
        <w:rFonts w:hint="default"/>
      </w:rPr>
    </w:lvl>
    <w:lvl w:ilvl="1" w:tplc="42EE275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0"/>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0"/>
  </w:num>
  <w:num w:numId="16" w16cid:durableId="898320195">
    <w:abstractNumId w:val="19"/>
  </w:num>
  <w:num w:numId="17" w16cid:durableId="2128498676">
    <w:abstractNumId w:val="37"/>
  </w:num>
  <w:num w:numId="18" w16cid:durableId="299724409">
    <w:abstractNumId w:val="27"/>
  </w:num>
  <w:num w:numId="19" w16cid:durableId="214585573">
    <w:abstractNumId w:val="15"/>
  </w:num>
  <w:num w:numId="20" w16cid:durableId="1289816170">
    <w:abstractNumId w:val="16"/>
  </w:num>
  <w:num w:numId="21" w16cid:durableId="1066490929">
    <w:abstractNumId w:val="38"/>
  </w:num>
  <w:num w:numId="22" w16cid:durableId="1472481103">
    <w:abstractNumId w:val="29"/>
  </w:num>
  <w:num w:numId="23" w16cid:durableId="1997420403">
    <w:abstractNumId w:val="32"/>
  </w:num>
  <w:num w:numId="24" w16cid:durableId="33312838">
    <w:abstractNumId w:val="28"/>
  </w:num>
  <w:num w:numId="25" w16cid:durableId="507404939">
    <w:abstractNumId w:val="18"/>
  </w:num>
  <w:num w:numId="26" w16cid:durableId="1950313333">
    <w:abstractNumId w:val="24"/>
  </w:num>
  <w:num w:numId="27" w16cid:durableId="1866016584">
    <w:abstractNumId w:val="21"/>
  </w:num>
  <w:num w:numId="28" w16cid:durableId="67070761">
    <w:abstractNumId w:val="23"/>
  </w:num>
  <w:num w:numId="29" w16cid:durableId="221403853">
    <w:abstractNumId w:val="26"/>
  </w:num>
  <w:num w:numId="30" w16cid:durableId="1241403654">
    <w:abstractNumId w:val="11"/>
  </w:num>
  <w:num w:numId="31" w16cid:durableId="177282387">
    <w:abstractNumId w:val="17"/>
  </w:num>
  <w:num w:numId="32" w16cid:durableId="1166940120">
    <w:abstractNumId w:val="12"/>
  </w:num>
  <w:num w:numId="33" w16cid:durableId="1062946967">
    <w:abstractNumId w:val="20"/>
  </w:num>
  <w:num w:numId="34" w16cid:durableId="1315452710">
    <w:abstractNumId w:val="31"/>
  </w:num>
  <w:num w:numId="35" w16cid:durableId="1310017036">
    <w:abstractNumId w:val="36"/>
  </w:num>
  <w:num w:numId="36" w16cid:durableId="1167402425">
    <w:abstractNumId w:val="33"/>
  </w:num>
  <w:num w:numId="37" w16cid:durableId="1986666273">
    <w:abstractNumId w:val="35"/>
  </w:num>
  <w:num w:numId="38" w16cid:durableId="89086903">
    <w:abstractNumId w:val="34"/>
  </w:num>
  <w:num w:numId="39" w16cid:durableId="670304102">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67ECE"/>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07"/>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2D04"/>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1FF"/>
    <w:rsid w:val="00160472"/>
    <w:rsid w:val="00162951"/>
    <w:rsid w:val="001630B4"/>
    <w:rsid w:val="00165258"/>
    <w:rsid w:val="00165670"/>
    <w:rsid w:val="00165A99"/>
    <w:rsid w:val="001675AA"/>
    <w:rsid w:val="00170325"/>
    <w:rsid w:val="00173AB9"/>
    <w:rsid w:val="001747DB"/>
    <w:rsid w:val="00174BB4"/>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0"/>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65E7"/>
    <w:rsid w:val="00240136"/>
    <w:rsid w:val="00240736"/>
    <w:rsid w:val="00240C70"/>
    <w:rsid w:val="00240F0F"/>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4B2"/>
    <w:rsid w:val="003116A8"/>
    <w:rsid w:val="0031275A"/>
    <w:rsid w:val="003127DD"/>
    <w:rsid w:val="00312E1C"/>
    <w:rsid w:val="00313EB3"/>
    <w:rsid w:val="00313FC5"/>
    <w:rsid w:val="00314BFB"/>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0B1"/>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674D"/>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18F5"/>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5DB"/>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4D8"/>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19A5"/>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6E0E"/>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612"/>
    <w:rsid w:val="005B085D"/>
    <w:rsid w:val="005B10B5"/>
    <w:rsid w:val="005B1A17"/>
    <w:rsid w:val="005B1B77"/>
    <w:rsid w:val="005B2321"/>
    <w:rsid w:val="005B289F"/>
    <w:rsid w:val="005B28D1"/>
    <w:rsid w:val="005B29C6"/>
    <w:rsid w:val="005B425D"/>
    <w:rsid w:val="005B496D"/>
    <w:rsid w:val="005B52C4"/>
    <w:rsid w:val="005B6A73"/>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54D"/>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3D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6D07"/>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558F"/>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534"/>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248"/>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595"/>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2F8B"/>
    <w:rsid w:val="00885021"/>
    <w:rsid w:val="00885294"/>
    <w:rsid w:val="008853F8"/>
    <w:rsid w:val="00885EAA"/>
    <w:rsid w:val="00886C30"/>
    <w:rsid w:val="00886CFC"/>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7A9"/>
    <w:rsid w:val="008C5E4C"/>
    <w:rsid w:val="008D0F23"/>
    <w:rsid w:val="008D1AF4"/>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1794"/>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278"/>
    <w:rsid w:val="009B13E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1F86"/>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87F"/>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4DAE"/>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303"/>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4C0"/>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AF7A17"/>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0D69"/>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0E9D"/>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5BF"/>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184"/>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0A7"/>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0A3"/>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59A"/>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AEF"/>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0FA2"/>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3F4F"/>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3ECF"/>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335FB466-B93D-4684-9FE1-1FB676DDE233}"/>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582</Words>
  <Characters>3806</Characters>
  <Application>Microsoft Office Word</Application>
  <DocSecurity>0</DocSecurity>
  <Lines>71</Lines>
  <Paragraphs>49</Paragraphs>
  <ScaleCrop>false</ScaleCrop>
  <HeadingPairs>
    <vt:vector size="2" baseType="variant">
      <vt:variant>
        <vt:lpstr>Title</vt:lpstr>
      </vt:variant>
      <vt:variant>
        <vt:i4>1</vt:i4>
      </vt:variant>
    </vt:vector>
  </HeadingPairs>
  <TitlesOfParts>
    <vt:vector size="1" baseType="lpstr">
      <vt:lpstr>Thalomid 2368-A SGM 2023</vt:lpstr>
    </vt:vector>
  </TitlesOfParts>
  <Company>PCS Health Systems</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Thalomid SGM 2368-A</dc:title>
  <dc:subject/>
  <dc:creator>CVS Caremark</dc:creator>
  <cp:keywords/>
  <cp:lastModifiedBy>Huerta, Linda M</cp:lastModifiedBy>
  <cp:revision>3</cp:revision>
  <cp:lastPrinted>2018-01-09T05:01:00Z</cp:lastPrinted>
  <dcterms:created xsi:type="dcterms:W3CDTF">2025-02-26T17:16:00Z</dcterms:created>
  <dcterms:modified xsi:type="dcterms:W3CDTF">2025-02-26T17:17:00Z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1044300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